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F9" w:rsidRDefault="00AF0BF9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D67F6C6" wp14:editId="741D2B0E">
            <wp:extent cx="4572000" cy="2295525"/>
            <wp:effectExtent l="0" t="0" r="0" b="9525"/>
            <wp:docPr id="4" name="Рисунок 4" descr="https://avatars.mds.yandex.net/i?id=fe665dd0b147fbd1d9444b82fa86958247b43158-523943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i?id=fe665dd0b147fbd1d9444b82fa86958247b43158-523943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D52C595" wp14:editId="7B72CAF4">
                <wp:extent cx="304800" cy="304800"/>
                <wp:effectExtent l="0" t="0" r="0" b="0"/>
                <wp:docPr id="3" name="AutoShape 6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om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PrK0Vy6AgAAxA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14746E" w:rsidRDefault="002E5AEC">
      <w:hyperlink r:id="rId7" w:history="1">
        <w:r w:rsidR="00AF0BF9" w:rsidRPr="00791185">
          <w:rPr>
            <w:rStyle w:val="a5"/>
          </w:rPr>
          <w:t>https://russia.iom.int/ru/regionalnaya-programma-po-migracii-v-centralnoy-azii-i-rossii</w:t>
        </w:r>
      </w:hyperlink>
    </w:p>
    <w:p w:rsidR="00AF0BF9" w:rsidRPr="00AF0BF9" w:rsidRDefault="00AF0BF9" w:rsidP="00AF0BF9">
      <w:pPr>
        <w:numPr>
          <w:ilvl w:val="0"/>
          <w:numId w:val="1"/>
        </w:numPr>
        <w:shd w:val="clear" w:color="auto" w:fill="FFFFFF"/>
        <w:spacing w:beforeAutospacing="1" w:after="100" w:afterAutospacing="1" w:line="288" w:lineRule="atLeast"/>
        <w:ind w:left="0" w:right="-20250"/>
        <w:outlineLvl w:val="0"/>
        <w:rPr>
          <w:rFonts w:ascii="inherit" w:eastAsia="Times New Roman" w:hAnsi="inherit" w:cs="Arial"/>
          <w:b/>
          <w:bCs/>
          <w:caps/>
          <w:color w:val="FFFFFF"/>
          <w:kern w:val="36"/>
          <w:sz w:val="48"/>
          <w:szCs w:val="48"/>
          <w:lang w:eastAsia="ru-RU"/>
        </w:rPr>
      </w:pPr>
      <w:r w:rsidRPr="00AF0BF9">
        <w:rPr>
          <w:rFonts w:ascii="inherit" w:eastAsia="Times New Roman" w:hAnsi="inherit" w:cs="Arial"/>
          <w:b/>
          <w:bCs/>
          <w:caps/>
          <w:color w:val="FFFFFF"/>
          <w:kern w:val="36"/>
          <w:sz w:val="48"/>
          <w:szCs w:val="48"/>
          <w:lang w:eastAsia="ru-RU"/>
        </w:rPr>
        <w:t>РЕГИОНАЛЬНАЯ ПРОГРАММА ПО МИГР</w:t>
      </w:r>
      <w:r>
        <w:rPr>
          <w:rFonts w:ascii="inherit" w:eastAsia="Times New Roman" w:hAnsi="inherit" w:cs="Arial"/>
          <w:b/>
          <w:bCs/>
          <w:caps/>
          <w:color w:val="FFFFFF"/>
          <w:kern w:val="36"/>
          <w:sz w:val="48"/>
          <w:szCs w:val="48"/>
          <w:lang w:eastAsia="ru-RU"/>
        </w:rPr>
        <w:t>АЦИИ В ЦЕНТРАЛЬНОЙ АЗИИ И РО</w:t>
      </w:r>
    </w:p>
    <w:p w:rsidR="00AF0BF9" w:rsidRPr="00AF0BF9" w:rsidRDefault="00AF0BF9" w:rsidP="00AF0B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4"/>
          <w:szCs w:val="24"/>
          <w:lang w:eastAsia="ru-RU"/>
        </w:rPr>
      </w:pPr>
      <w:r w:rsidRPr="00AF0BF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Региональная программа по миграции в Центральной Азии и России (CARM), направленная на снижение бедности в Центральной Азии, является комплексной программой в сфере трудовой миграции и объединяет деятельность Международной организации по миграции, агентства ООН Женщины и Всемирного банка, при финансовой поддержке Правительства Великобритании (UKAID/DFID).</w:t>
      </w:r>
    </w:p>
    <w:p w:rsidR="00AF0BF9" w:rsidRPr="00AF0BF9" w:rsidRDefault="00AF0BF9" w:rsidP="00AF0B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4"/>
          <w:szCs w:val="24"/>
          <w:lang w:eastAsia="ru-RU"/>
        </w:rPr>
      </w:pPr>
      <w:r w:rsidRPr="00AF0BF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Данная программа нацелена на содействие урегулированию вопросов в сфере трудовой миграции, которая на сегодняшний день является ключевым фактором, способствующим снижению уровня бедности в Центральной Азии. Это особенно актуально для двух наиболее бедных стран региона, Кыргызской Республики и Таджикистана. Большое количество жителей сельских районов этих государств выезжают в трудовую миграцию преимущественно в Российскую Федерацию и Казахстан.</w:t>
      </w:r>
    </w:p>
    <w:p w:rsidR="00AF0BF9" w:rsidRPr="00AF0BF9" w:rsidRDefault="00AF0BF9" w:rsidP="00AF0B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4"/>
          <w:szCs w:val="24"/>
          <w:lang w:eastAsia="ru-RU"/>
        </w:rPr>
      </w:pPr>
      <w:r w:rsidRPr="00AF0BF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Региональная программа поддерживает мнение, что добровольная миграция приносит пользу развивающимся странам, так как появляются новые выгодные экономические и социальные возможности для мигрантов, независимо от вида миграции (миграция высококвалифицированных специалистов или внутренняя миграция из сельской местности в город). К тому же, миграция должна рассматриваться в качестве важной составляющей процесса экономического развития. Основной целью управления трудовой миграцией должна стать максимизация доходов мигрантов, а не единственной возможностью для выживания.</w:t>
      </w:r>
    </w:p>
    <w:p w:rsidR="00AF0BF9" w:rsidRPr="00AF0BF9" w:rsidRDefault="00AF0BF9" w:rsidP="00AF0B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4"/>
          <w:szCs w:val="24"/>
          <w:lang w:eastAsia="ru-RU"/>
        </w:rPr>
      </w:pPr>
      <w:r w:rsidRPr="00AF0BF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Данная программа нацелена на содействие урегулированию вопросов в сфере трудовой миграции, которая на сегодняшний день является ключевым фактором, способствующим снижению уровня бедности в Центральной Азии.</w:t>
      </w:r>
    </w:p>
    <w:p w:rsidR="00AF0BF9" w:rsidRPr="00AF0BF9" w:rsidRDefault="00AF0BF9" w:rsidP="00AF0B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4"/>
          <w:szCs w:val="24"/>
          <w:lang w:eastAsia="ru-RU"/>
        </w:rPr>
      </w:pPr>
      <w:r w:rsidRPr="00AF0BF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 xml:space="preserve">Сложность процессов трудовой миграции требует разработки целостного комплекса законодательных норм и институциональных процедур, направленных </w:t>
      </w:r>
      <w:r w:rsidRPr="00AF0BF9">
        <w:rPr>
          <w:rFonts w:ascii="Arial" w:eastAsia="Times New Roman" w:hAnsi="Arial" w:cs="Arial"/>
          <w:color w:val="343A40"/>
          <w:sz w:val="24"/>
          <w:szCs w:val="24"/>
          <w:lang w:eastAsia="ru-RU"/>
        </w:rPr>
        <w:lastRenderedPageBreak/>
        <w:t>на уважение, защиту и соблюдение прав трудящихся-мигрантов на протяжении всего миграционного цикла.</w:t>
      </w:r>
    </w:p>
    <w:p w:rsidR="00AF0BF9" w:rsidRPr="00AF0BF9" w:rsidRDefault="00AF0BF9" w:rsidP="00AF0B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4"/>
          <w:szCs w:val="24"/>
          <w:lang w:eastAsia="ru-RU"/>
        </w:rPr>
      </w:pPr>
      <w:r w:rsidRPr="00AF0BF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Целью данной программы является содействие в снижении уровня бедности путём повышения уровня жизни мигрантов (мужчин и женщин) из государств Центральной Азии.</w:t>
      </w:r>
    </w:p>
    <w:p w:rsidR="00AF0BF9" w:rsidRPr="00AF0BF9" w:rsidRDefault="00AF0BF9" w:rsidP="00AF0B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4"/>
          <w:szCs w:val="24"/>
          <w:lang w:eastAsia="ru-RU"/>
        </w:rPr>
      </w:pPr>
      <w:r w:rsidRPr="00AF0BF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Региональная программа направлена на защиту прав мигрантов и улучшение социально-экономического положения мигрантов (мужчин и женщин), а также их семей.</w:t>
      </w:r>
    </w:p>
    <w:p w:rsidR="00AF0BF9" w:rsidRPr="00AF0BF9" w:rsidRDefault="00AF0BF9" w:rsidP="00AF0B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4"/>
          <w:szCs w:val="24"/>
          <w:lang w:eastAsia="ru-RU"/>
        </w:rPr>
      </w:pPr>
      <w:r w:rsidRPr="00AF0BF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Программа имеет пять основных направлений деятельности:</w:t>
      </w:r>
    </w:p>
    <w:p w:rsidR="00AF0BF9" w:rsidRPr="00AF0BF9" w:rsidRDefault="00AF0BF9" w:rsidP="00AF0B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4"/>
          <w:szCs w:val="24"/>
          <w:lang w:eastAsia="ru-RU"/>
        </w:rPr>
      </w:pPr>
      <w:r w:rsidRPr="00AF0BF9">
        <w:rPr>
          <w:rFonts w:ascii="Arial" w:eastAsia="Times New Roman" w:hAnsi="Arial" w:cs="Arial"/>
          <w:b/>
          <w:bCs/>
          <w:color w:val="343A40"/>
          <w:sz w:val="24"/>
          <w:szCs w:val="24"/>
          <w:lang w:eastAsia="ru-RU"/>
        </w:rPr>
        <w:t>Направление 1: Оказание экспертной поддержки в разработке и реализации государственных программ в области управления трудовой миграцией.</w:t>
      </w:r>
      <w:r w:rsidRPr="00AF0BF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 Оказание поддержки в последовательном сборе, анализе и обмене данными (в том числе анализ гендерных различий), является одним из ключевых условий эффективной разработки программ в сфере управления трудовой миграцией.</w:t>
      </w:r>
    </w:p>
    <w:p w:rsidR="00AF0BF9" w:rsidRPr="00AF0BF9" w:rsidRDefault="00AF0BF9" w:rsidP="00AF0B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4"/>
          <w:szCs w:val="24"/>
          <w:lang w:eastAsia="ru-RU"/>
        </w:rPr>
      </w:pPr>
      <w:r w:rsidRPr="00AF0BF9">
        <w:rPr>
          <w:rFonts w:ascii="Arial" w:eastAsia="Times New Roman" w:hAnsi="Arial" w:cs="Arial"/>
          <w:b/>
          <w:bCs/>
          <w:color w:val="343A40"/>
          <w:sz w:val="24"/>
          <w:szCs w:val="24"/>
          <w:lang w:eastAsia="ru-RU"/>
        </w:rPr>
        <w:t>Направление 2: Укрепление регионального партнерства, диалога и повышение уровня взаимодействия в области управления миграционными процессами.</w:t>
      </w:r>
      <w:r w:rsidRPr="00AF0BF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 </w:t>
      </w:r>
      <w:proofErr w:type="gramStart"/>
      <w:r w:rsidRPr="00AF0BF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Эффективным способом влияния на экономические аспекты в области трудовой миграции, включая снижение уровня бедности и вопросов гендерного равенства), является улучшение координации действий всех заинтересованных сторон в сфере регулирования трудовой миграции.</w:t>
      </w:r>
      <w:proofErr w:type="gramEnd"/>
    </w:p>
    <w:p w:rsidR="00AF0BF9" w:rsidRPr="00AF0BF9" w:rsidRDefault="00AF0BF9" w:rsidP="00AF0B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4"/>
          <w:szCs w:val="24"/>
          <w:lang w:eastAsia="ru-RU"/>
        </w:rPr>
      </w:pPr>
      <w:r w:rsidRPr="00AF0BF9">
        <w:rPr>
          <w:rFonts w:ascii="Arial" w:eastAsia="Times New Roman" w:hAnsi="Arial" w:cs="Arial"/>
          <w:b/>
          <w:bCs/>
          <w:color w:val="343A40"/>
          <w:sz w:val="24"/>
          <w:szCs w:val="24"/>
          <w:lang w:eastAsia="ru-RU"/>
        </w:rPr>
        <w:t>Направление 3: Предоставление более широкого набора услуг для трудовых мигрантов и их семей (с учетом гендерных различий) на всех этапах миграционного цикла.</w:t>
      </w:r>
      <w:r w:rsidRPr="00AF0BF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 Это будет способствовать снижению уровня неурегулированной (нелегальной) миграции, и повышению уровня защищенности иностранных работников.</w:t>
      </w:r>
    </w:p>
    <w:p w:rsidR="00AF0BF9" w:rsidRPr="00AF0BF9" w:rsidRDefault="00AF0BF9" w:rsidP="00AF0B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4"/>
          <w:szCs w:val="24"/>
          <w:lang w:eastAsia="ru-RU"/>
        </w:rPr>
      </w:pPr>
      <w:r w:rsidRPr="00AF0BF9">
        <w:rPr>
          <w:rFonts w:ascii="Arial" w:eastAsia="Times New Roman" w:hAnsi="Arial" w:cs="Arial"/>
          <w:b/>
          <w:bCs/>
          <w:color w:val="343A40"/>
          <w:sz w:val="24"/>
          <w:szCs w:val="24"/>
          <w:lang w:eastAsia="ru-RU"/>
        </w:rPr>
        <w:t>Направление 4: Повышение уровня знаний и навыков, способствующих улучшению уровня жизни, у семей трудящихся мигрантов, оставшихся на родине.</w:t>
      </w:r>
      <w:r w:rsidRPr="00AF0BF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 Улучшение социально-экономического статуса семей трудящихся-мигрантов, будет напрямую влиять на снижение уровня бедности в регионе.</w:t>
      </w:r>
    </w:p>
    <w:p w:rsidR="00AF0BF9" w:rsidRPr="00AF0BF9" w:rsidRDefault="00AF0BF9" w:rsidP="00AF0B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4"/>
          <w:szCs w:val="24"/>
          <w:lang w:eastAsia="ru-RU"/>
        </w:rPr>
      </w:pPr>
      <w:r w:rsidRPr="00AF0BF9">
        <w:rPr>
          <w:rFonts w:ascii="Arial" w:eastAsia="Times New Roman" w:hAnsi="Arial" w:cs="Arial"/>
          <w:b/>
          <w:bCs/>
          <w:color w:val="343A40"/>
          <w:sz w:val="24"/>
          <w:szCs w:val="24"/>
          <w:lang w:eastAsia="ru-RU"/>
        </w:rPr>
        <w:t>Направление 5: Укрепление потенциала гражданского общества в принятии мер по повышению общественной толерантности в отношении трудящихся-мигрантов и снижению проявлений ксенофобии в принимающих странах.</w:t>
      </w:r>
      <w:r w:rsidRPr="00AF0BF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 СМИ будут способствовать созданию положительного имиджа трудящихся-мигрантов, а НПО окажут содействие в разработке государственной стратегии социальной интеграции трудящихся-мигрантов.</w:t>
      </w:r>
    </w:p>
    <w:p w:rsidR="00AF0BF9" w:rsidRPr="00AF0BF9" w:rsidRDefault="00AF0BF9" w:rsidP="00AF0B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4"/>
          <w:szCs w:val="24"/>
          <w:lang w:eastAsia="ru-RU"/>
        </w:rPr>
      </w:pPr>
      <w:r w:rsidRPr="00AF0BF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 xml:space="preserve">Основные партнеры программы имеют большой опыт работы в сфере управления миграционными процессами в области трудовой миграции на межрегиональном уровне. </w:t>
      </w:r>
      <w:proofErr w:type="gramStart"/>
      <w:r w:rsidRPr="00AF0BF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Основные принципы и направления Программы были сформулированы в результате интенсивных консультаций со всеми заинтересованными сторонами на правительственном и неправительственном уровнях, включая также самих мигрантов.</w:t>
      </w:r>
      <w:proofErr w:type="gramEnd"/>
    </w:p>
    <w:p w:rsidR="00AF0BF9" w:rsidRPr="00AF0BF9" w:rsidRDefault="00AF0BF9" w:rsidP="00AF0B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4"/>
          <w:szCs w:val="24"/>
          <w:lang w:eastAsia="ru-RU"/>
        </w:rPr>
      </w:pPr>
      <w:r w:rsidRPr="00AF0BF9">
        <w:rPr>
          <w:rFonts w:ascii="Arial" w:eastAsia="Times New Roman" w:hAnsi="Arial" w:cs="Arial"/>
          <w:color w:val="343A40"/>
          <w:sz w:val="24"/>
          <w:szCs w:val="24"/>
          <w:lang w:eastAsia="ru-RU"/>
        </w:rPr>
        <w:lastRenderedPageBreak/>
        <w:t>Реализация Программы осуществляется в тесном сотрудничестве с региональной организацией Евразийское экономическое сообщество (</w:t>
      </w:r>
      <w:proofErr w:type="spellStart"/>
      <w:r w:rsidRPr="00AF0BF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ЕврАзЭС</w:t>
      </w:r>
      <w:proofErr w:type="spellEnd"/>
      <w:r w:rsidRPr="00AF0BF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), которая координирует региональный диалог по вопросам трудовой миграции на уровне правительств.</w:t>
      </w:r>
    </w:p>
    <w:p w:rsidR="00AF0BF9" w:rsidRPr="00AF0BF9" w:rsidRDefault="00AF0BF9" w:rsidP="00AF0B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4"/>
          <w:szCs w:val="24"/>
          <w:lang w:eastAsia="ru-RU"/>
        </w:rPr>
      </w:pPr>
      <w:r w:rsidRPr="00AF0BF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Примеры некоторых ключевых результатов Программы:</w:t>
      </w:r>
    </w:p>
    <w:p w:rsidR="00AF0BF9" w:rsidRPr="00AF0BF9" w:rsidRDefault="002E5AEC" w:rsidP="00AF0B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43A40"/>
          <w:sz w:val="24"/>
          <w:szCs w:val="24"/>
          <w:lang w:eastAsia="ru-RU"/>
        </w:rPr>
      </w:pPr>
      <w:hyperlink r:id="rId8" w:anchor="1" w:history="1">
        <w:r w:rsidR="00AF0BF9" w:rsidRPr="00AF0BF9">
          <w:rPr>
            <w:rFonts w:ascii="Arial" w:eastAsia="Times New Roman" w:hAnsi="Arial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Результат 1: Политика управления процессами трудовой миграции основана на тщательном анализе ситуации и эффективно исполняется в четырех странах:</w:t>
        </w:r>
      </w:hyperlink>
    </w:p>
    <w:p w:rsidR="00AF0BF9" w:rsidRPr="00AF0BF9" w:rsidRDefault="002E5AEC" w:rsidP="00AF0B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43A40"/>
          <w:sz w:val="24"/>
          <w:szCs w:val="24"/>
          <w:lang w:eastAsia="ru-RU"/>
        </w:rPr>
      </w:pPr>
      <w:hyperlink r:id="rId9" w:anchor="2" w:history="1">
        <w:r w:rsidR="00AF0BF9" w:rsidRPr="00AF0BF9">
          <w:rPr>
            <w:rFonts w:ascii="Arial" w:eastAsia="Times New Roman" w:hAnsi="Arial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Результат 2: Улучшение регионального партнерства, диалога и сотрудничества в области трудовой миграции на межрегиональном уровне:</w:t>
        </w:r>
      </w:hyperlink>
    </w:p>
    <w:p w:rsidR="00AF0BF9" w:rsidRPr="00AF0BF9" w:rsidRDefault="002E5AEC" w:rsidP="00AF0B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43A40"/>
          <w:sz w:val="24"/>
          <w:szCs w:val="24"/>
          <w:lang w:eastAsia="ru-RU"/>
        </w:rPr>
      </w:pPr>
      <w:hyperlink r:id="rId10" w:anchor="3" w:history="1">
        <w:r w:rsidR="00AF0BF9" w:rsidRPr="00AF0BF9">
          <w:rPr>
            <w:rFonts w:ascii="Arial" w:eastAsia="Times New Roman" w:hAnsi="Arial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Результат 3: Трудовые мигранты (женщины и мужчины) получили доступ к более широкому набору услуг на протяжении миграционного цикла:</w:t>
        </w:r>
      </w:hyperlink>
    </w:p>
    <w:p w:rsidR="00AF0BF9" w:rsidRPr="00AF0BF9" w:rsidRDefault="002E5AEC" w:rsidP="00AF0B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43A40"/>
          <w:sz w:val="24"/>
          <w:szCs w:val="24"/>
          <w:lang w:eastAsia="ru-RU"/>
        </w:rPr>
      </w:pPr>
      <w:hyperlink r:id="rId11" w:anchor="4" w:history="1">
        <w:r w:rsidR="00AF0BF9" w:rsidRPr="00AF0BF9">
          <w:rPr>
            <w:rFonts w:ascii="Arial" w:eastAsia="Times New Roman" w:hAnsi="Arial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Результат 4: Повысился уровень знаний и навыков, способствующих улучшению уровня жизни у семей трудящихся мигрантов, оставшихся на родине:</w:t>
        </w:r>
      </w:hyperlink>
    </w:p>
    <w:p w:rsidR="00AF0BF9" w:rsidRPr="00AF0BF9" w:rsidRDefault="002E5AEC" w:rsidP="00AF0B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43A40"/>
          <w:sz w:val="24"/>
          <w:szCs w:val="24"/>
          <w:lang w:eastAsia="ru-RU"/>
        </w:rPr>
      </w:pPr>
      <w:hyperlink r:id="rId12" w:anchor="5" w:history="1">
        <w:r w:rsidR="00AF0BF9" w:rsidRPr="00AF0BF9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Результат 5: Повысился потенциал организаций гражданского общества в принятии мер по повышению социальной толерантности в отношении трудящихся-мигрантов и снижению проявлений ксенофобии в принимающих странах:</w:t>
        </w:r>
      </w:hyperlink>
    </w:p>
    <w:p w:rsidR="00AF0BF9" w:rsidRDefault="00AF0BF9" w:rsidP="00AF0BF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AF0BF9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Мероприятия CARM по странам (на англ. яз.)</w:t>
      </w:r>
    </w:p>
    <w:p w:rsidR="00FC6C5A" w:rsidRPr="00AF0BF9" w:rsidRDefault="00FC6C5A" w:rsidP="00AF0BF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>
        <w:rPr>
          <w:rFonts w:ascii="inherit" w:eastAsia="Times New Roman" w:hAnsi="inherit" w:cs="Arial" w:hint="eastAsia"/>
          <w:b/>
          <w:bCs/>
          <w:color w:val="000000"/>
          <w:sz w:val="36"/>
          <w:szCs w:val="36"/>
          <w:lang w:eastAsia="ru-RU"/>
        </w:rPr>
        <w:t>П</w:t>
      </w:r>
      <w:r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еревод Яндекс переводчик</w:t>
      </w:r>
    </w:p>
    <w:p w:rsidR="00AF0BF9" w:rsidRDefault="00AF0BF9" w:rsidP="00AF0BF9">
      <w:r>
        <w:t>Россия</w:t>
      </w:r>
    </w:p>
    <w:p w:rsidR="00AF0BF9" w:rsidRDefault="00AF0BF9" w:rsidP="00AF0BF9">
      <w:r>
        <w:t>Результат I: Политика управления миграцией основана на фактических данных и эффективно реализуется.</w:t>
      </w:r>
    </w:p>
    <w:p w:rsidR="00AF0BF9" w:rsidRDefault="00AF0BF9" w:rsidP="00AF0BF9">
      <w:r>
        <w:t>Содействие принятию политики, основанной на фактических данных, и эффективного законодательства.</w:t>
      </w:r>
    </w:p>
    <w:p w:rsidR="00AF0BF9" w:rsidRDefault="00AF0BF9" w:rsidP="00AF0BF9">
      <w:r>
        <w:t>CARMP анализирует реализацию существующей миграционной политики с помощью административной и судебной практики с целью выработки рекомендаций, учитывающих гендерные аспекты, для улучшения действующей законодательной базы.</w:t>
      </w:r>
    </w:p>
    <w:p w:rsidR="00AF0BF9" w:rsidRDefault="00AF0BF9" w:rsidP="00AF0BF9">
      <w:r>
        <w:t xml:space="preserve">CARMP проводит ряд исследований, согласованных с Федеральной миграционной службой, по темам, связанным с анализом миграционных потоков; оценкой влияния трудовой миграции на социально-экономическую ситуацию в странах происхождения и назначения; оценкой рынка трудовой миграции; </w:t>
      </w:r>
      <w:proofErr w:type="spellStart"/>
      <w:r>
        <w:t>реинтеграцией</w:t>
      </w:r>
      <w:proofErr w:type="spellEnd"/>
      <w:r>
        <w:t xml:space="preserve"> трудовых мигрантов в странах происхождения. Результаты этой аналитической работы способствуют реализации мероприятий по борьбе с ксенофобией и дискриминацией трудовых мигрантов. Некоторые из этих документов используются в качестве исходной информации.</w:t>
      </w:r>
    </w:p>
    <w:p w:rsidR="00AF0BF9" w:rsidRDefault="00AF0BF9" w:rsidP="00AF0BF9"/>
    <w:p w:rsidR="00AF0BF9" w:rsidRDefault="00AF0BF9" w:rsidP="00AF0BF9">
      <w:r>
        <w:t>CARMP также анализирует федеральное и региональное законодательство; административные и судебные решения по реализации миграционного законодательства (федерального и областного); и коллизии права в административной и судебной практике в отношении трудовых мигрантов и работодателей.</w:t>
      </w:r>
    </w:p>
    <w:p w:rsidR="00AF0BF9" w:rsidRDefault="00AF0BF9" w:rsidP="00AF0BF9">
      <w:r>
        <w:t>Обучение заинтересованных сторон, участвующих в разработке и реализации политики в области трудовой миграции.</w:t>
      </w:r>
    </w:p>
    <w:p w:rsidR="00AF0BF9" w:rsidRDefault="00AF0BF9" w:rsidP="00AF0BF9">
      <w:r>
        <w:t>Усовершенствованная политика и законодательство в области трудовой миграции не могут быть эффективно внедрены, если государственные служащие и другие заинтересованные стороны не обладают необходимыми навыками для их реализации. CRMP поддерживает обучение специалистов-</w:t>
      </w:r>
      <w:proofErr w:type="spellStart"/>
      <w:r>
        <w:t>миграционщиков</w:t>
      </w:r>
      <w:proofErr w:type="spellEnd"/>
      <w:r>
        <w:t>, уделяя особое внимание конкретным потребностям каждой страны. Гендерные сессии интегрированы в учебные программы, разработанные на основе оценки знаний сотрудников миграционных служб о гендерном равенстве и правозащитных аспектах трудовой миграции.</w:t>
      </w:r>
    </w:p>
    <w:p w:rsidR="00FC6C5A" w:rsidRDefault="00FC6C5A" w:rsidP="00FC6C5A">
      <w:proofErr w:type="gramStart"/>
      <w:r>
        <w:t>CARMP обучает государственных служащих (в основном Федеральную миграционную службу) на национальном и региональном уровнях реализации миграционной политики и отдельным специализированным вопросам миграции, а также проводит обучение работодателей, которые нанимают трудовых мигрантов из республик Центральной Азии для своего бизнеса, с целью продвижения легальных способов трудоустройства.</w:t>
      </w:r>
      <w:proofErr w:type="gramEnd"/>
    </w:p>
    <w:p w:rsidR="00FC6C5A" w:rsidRDefault="00FC6C5A" w:rsidP="00FC6C5A">
      <w:r>
        <w:t>Основной целью тренинга является повышение квалификации государственных служащих в области регулирования трудовой миграции.</w:t>
      </w:r>
    </w:p>
    <w:p w:rsidR="00FC6C5A" w:rsidRPr="00FC6C5A" w:rsidRDefault="00FC6C5A" w:rsidP="00FC6C5A">
      <w:r>
        <w:t>CARMP также обучает бизнесменов, которые нанимают на работу трудовых мигрантов из республик Центральной Азии. В ходе тренинга они узнают о юридических аспектах и механизмах процесса найма.</w:t>
      </w:r>
    </w:p>
    <w:p w:rsidR="00FC6C5A" w:rsidRDefault="00FC6C5A" w:rsidP="00FC6C5A">
      <w:r>
        <w:t>Результат II: Улучшение регионального партнерства, диалога и координации по отдельным вопросам миграции.</w:t>
      </w:r>
    </w:p>
    <w:p w:rsidR="00FC6C5A" w:rsidRDefault="00FC6C5A" w:rsidP="00FC6C5A">
      <w:r>
        <w:t xml:space="preserve">CAMP предоставляет специализированные экспертные консультации Миграционной службе для подготовки и проведения совещаний высокого уровня </w:t>
      </w:r>
      <w:proofErr w:type="spellStart"/>
      <w:r>
        <w:t>ЕврАзЭС</w:t>
      </w:r>
      <w:proofErr w:type="spellEnd"/>
      <w:r>
        <w:t xml:space="preserve"> и экспертных групп. Темы для брифингов согласованы и включают гендерные вопросы.</w:t>
      </w:r>
    </w:p>
    <w:p w:rsidR="00FC6C5A" w:rsidRDefault="00FC6C5A" w:rsidP="00FC6C5A"/>
    <w:p w:rsidR="00FC6C5A" w:rsidRDefault="00FC6C5A" w:rsidP="00FC6C5A">
      <w:r>
        <w:lastRenderedPageBreak/>
        <w:t>В России проводятся следующие мероприятия, способствующие достижению результата III:</w:t>
      </w:r>
    </w:p>
    <w:p w:rsidR="00FC6C5A" w:rsidRDefault="00FC6C5A" w:rsidP="00FC6C5A">
      <w:r>
        <w:t>Создать Информационный центр в Москве и оказывать консультационную помощь региональным партнерам в отдельных областях;</w:t>
      </w:r>
    </w:p>
    <w:p w:rsidR="00FC6C5A" w:rsidRDefault="00FC6C5A" w:rsidP="00FC6C5A">
      <w:r>
        <w:t>Разработать и протестировать пилотную схему найма 100 мигрантов, а</w:t>
      </w:r>
    </w:p>
    <w:p w:rsidR="00FC6C5A" w:rsidRDefault="00FC6C5A" w:rsidP="00FC6C5A">
      <w:r>
        <w:t>также разработать и провести комплексные информационные кампании, ориентированные на трудовых мигрантов.</w:t>
      </w:r>
    </w:p>
    <w:p w:rsidR="00FC6C5A" w:rsidRDefault="00FC6C5A" w:rsidP="00FC6C5A">
      <w:r>
        <w:t>Создайте Информационный центр в Москве и консультационный центр в Санкт-Петербурге.</w:t>
      </w:r>
    </w:p>
    <w:p w:rsidR="00FC6C5A" w:rsidRDefault="00FC6C5A" w:rsidP="00FC6C5A">
      <w:r>
        <w:t>Созданный информационный центр предоставляет всестороннюю информацию, консультативную и психологическую помощь трудовым мигрантам, включая наиболее уязвимые социальные группы, такие как женщины-мигранты, нелегальные мигранты и т.д. Центр собирает информацию по вопросам, связанным с миграцией, посредством проводимых консультаций. Эта работа способствует анализу миграционной ситуации и помогает в разработке предложений по содействию легальной миграции. В отдельных регионах России помощь и консультации трудовым мигрантам также предоставляются через партнерские НПО.</w:t>
      </w:r>
    </w:p>
    <w:p w:rsidR="00FC6C5A" w:rsidRDefault="00FC6C5A" w:rsidP="00FC6C5A">
      <w:r>
        <w:t>В состав персонала Центра входят: директор, два консультанта и один юрист, работающий неполный рабочий день (50%). Более подробную информацию о Центре можно найти здесь.</w:t>
      </w:r>
    </w:p>
    <w:p w:rsidR="00FC6C5A" w:rsidRDefault="00FC6C5A" w:rsidP="00FC6C5A">
      <w:r>
        <w:t>Разработка и проведение комплексных информационных кампаний</w:t>
      </w:r>
    </w:p>
    <w:p w:rsidR="003474A1" w:rsidRDefault="003474A1" w:rsidP="003474A1">
      <w:r>
        <w:t>Целью информационной кампании является информирование целевой аудитории о рисках, связанных с нелегальной миграцией и нелегальной занятостью, а также предоставление ей юридической помощи и консультаций. Информационные материалы целенаправленно распространяются через национальные и региональные сети государственных и</w:t>
      </w:r>
      <w:r w:rsidR="00763515">
        <w:t xml:space="preserve"> негосударственных организаций.</w:t>
      </w:r>
    </w:p>
    <w:p w:rsidR="003474A1" w:rsidRDefault="003474A1" w:rsidP="003474A1">
      <w:r>
        <w:t>CARMP разрабатывает и реализует учебные программы для трудовых мигрантов. Планируется, что информационная кампания охватит около 100 000 мигрантов.</w:t>
      </w:r>
    </w:p>
    <w:p w:rsidR="003474A1" w:rsidRDefault="003474A1" w:rsidP="003474A1">
      <w:r>
        <w:t>Результат V: Расширение возможностей организаций гражданского общества по поддержке мер, направленных на повышение социальной терпимости к трудовым мигрантам и снижение ксенофобии в странах назначения.</w:t>
      </w:r>
    </w:p>
    <w:p w:rsidR="003474A1" w:rsidRDefault="003474A1" w:rsidP="003474A1">
      <w:r>
        <w:lastRenderedPageBreak/>
        <w:t>В России мероприятия в рамках этой программы направлены на повышение социальной терпимости местного населения к трудовым мигрантам.</w:t>
      </w:r>
    </w:p>
    <w:p w:rsidR="003474A1" w:rsidRDefault="003474A1" w:rsidP="003474A1">
      <w:r>
        <w:t xml:space="preserve">CARMP поддерживает инициативу по сканированию СМИ и самооценке СМИ, благодаря которой учреждения СМИ могут критически оценивать свои собственные медиа-продукты с точки зрения дискриминационного и несбалансированного изображения женщин и </w:t>
      </w:r>
      <w:proofErr w:type="gramStart"/>
      <w:r>
        <w:t>мужчин-трудовых</w:t>
      </w:r>
      <w:proofErr w:type="gramEnd"/>
      <w:r>
        <w:t xml:space="preserve"> мигрантов и их роли в развитии местных обществ и экономик.</w:t>
      </w:r>
    </w:p>
    <w:p w:rsidR="003474A1" w:rsidRDefault="003474A1" w:rsidP="003474A1">
      <w:r>
        <w:t>Следующие мероприятия будут проведены в 2 областях России:</w:t>
      </w:r>
    </w:p>
    <w:p w:rsidR="003474A1" w:rsidRDefault="003474A1" w:rsidP="003474A1">
      <w:r>
        <w:t>Содействие партнерству в разработке стратегии социальной интеграции трудовых мигрантов.</w:t>
      </w:r>
    </w:p>
    <w:p w:rsidR="003474A1" w:rsidRDefault="003474A1" w:rsidP="003474A1">
      <w:r>
        <w:t xml:space="preserve">Инициативы по поддержке социальной интеграции трудовых мигрантов в основном осуществляются организациями гражданского общества и диаспорой на разовой основе. Для обеспечения принятия эффективных мер по социальной интеграции трудовых мигрантов необходима стратегия, которая помогает </w:t>
      </w:r>
      <w:proofErr w:type="spellStart"/>
      <w:r>
        <w:t>концептуализировать</w:t>
      </w:r>
      <w:proofErr w:type="spellEnd"/>
      <w:r>
        <w:t xml:space="preserve"> конкретную местную политику в области социальной интеграции и определяет роли и обязанности партнеров по развитию. Проект оказывает поддержку ключевым партнерам (муниципалитетам, НПО, диаспоре) в разработке стратегии на основе процесса широкого участия с целью привлечения соответствующих партнеров к ответственности под руководством местного отделения Миграционного агентства.</w:t>
      </w:r>
    </w:p>
    <w:p w:rsidR="003474A1" w:rsidRDefault="003474A1" w:rsidP="003474A1">
      <w:r>
        <w:t>Поддерживайте сети и ассоциации в проведении кампаний в средствах массовой информации.</w:t>
      </w:r>
    </w:p>
    <w:p w:rsidR="003474A1" w:rsidRDefault="003474A1" w:rsidP="003474A1">
      <w:r>
        <w:t xml:space="preserve">Сохранение негативных или стереотипных представлений о женщинах и </w:t>
      </w:r>
      <w:proofErr w:type="gramStart"/>
      <w:r>
        <w:t>мужчинах-трудовых</w:t>
      </w:r>
      <w:proofErr w:type="gramEnd"/>
      <w:r>
        <w:t xml:space="preserve"> мигрантах, особенно в средствах массовой информации, не дает точного и реалистичного представления о роли и вкладе трудовой миграции в местную экономику принимающих стран. Устранение этих стереотипов имеет первостепенное значение для создания основанной на правах человека и учитывающей гендерные аспекты среды, которая была бы дружественной и способствовала социальной интеграции женщин и </w:t>
      </w:r>
      <w:proofErr w:type="gramStart"/>
      <w:r>
        <w:t>мужчин-трудовых</w:t>
      </w:r>
      <w:proofErr w:type="gramEnd"/>
      <w:r>
        <w:t xml:space="preserve"> мигрантов. Хотя средства массовой информации не могут нести ответственность за действия, установки или поведение отдельных лиц, они играют важную роль в формировании общественного мнения, освещении новых проблем или перспектив и определении условий общественного обсуждения. Таким образом, данное мероприятие направлено на укрепление потенциала местных организаций гражданского общества и диаспоры в </w:t>
      </w:r>
      <w:r>
        <w:lastRenderedPageBreak/>
        <w:t>области взаимодействия со средствами массовой информации для создания более позитивного образа трудовых мигрантов.</w:t>
      </w:r>
    </w:p>
    <w:p w:rsidR="00A63D1D" w:rsidRDefault="00A63D1D" w:rsidP="003474A1">
      <w:pPr>
        <w:rPr>
          <w:b/>
        </w:rPr>
      </w:pPr>
      <w:r w:rsidRPr="00A63D1D">
        <w:rPr>
          <w:b/>
        </w:rPr>
        <w:t>Таджикистан</w:t>
      </w:r>
      <w:r w:rsidR="00FD7F02">
        <w:rPr>
          <w:b/>
        </w:rPr>
        <w:t xml:space="preserve"> (в сокращении)</w:t>
      </w:r>
    </w:p>
    <w:p w:rsidR="00A63D1D" w:rsidRDefault="00FD7F02" w:rsidP="00FD7F02">
      <w:r w:rsidRPr="00FD7F02">
        <w:t xml:space="preserve">…Улучшается координация и сотрудничество между Миграционной службой и Государственным пограничным комитетом (ГПК) при Государственном комитете национальной безопасности (ГКНБ). Миграционные карты, введенные МС для выявления миграционных потоков из Таджикистана, не заполняются на пограничном контроле, поскольку сотрудники </w:t>
      </w:r>
      <w:r w:rsidRPr="00FD7F02">
        <w:rPr>
          <w:lang w:val="en-US"/>
        </w:rPr>
        <w:t>SBGC</w:t>
      </w:r>
      <w:r w:rsidRPr="00FD7F02">
        <w:t xml:space="preserve"> не запрашивают этого. </w:t>
      </w:r>
    </w:p>
    <w:p w:rsidR="00FD7F02" w:rsidRPr="00FD7F02" w:rsidRDefault="00FD7F02" w:rsidP="00FD7F02">
      <w:r w:rsidRPr="00FD7F02">
        <w:t xml:space="preserve">Вторым шагом является разработка и внедрение МПЖ, включая участвующие учреждения/структуры, стандартные операционные </w:t>
      </w:r>
      <w:r>
        <w:t>процедуры и программу действий.</w:t>
      </w:r>
    </w:p>
    <w:p w:rsidR="00FD7F02" w:rsidRPr="00FD7F02" w:rsidRDefault="00FD7F02" w:rsidP="00FD7F02">
      <w:r w:rsidRPr="00FD7F02">
        <w:t>Поддержка НПО, управляющих цент</w:t>
      </w:r>
      <w:r>
        <w:t>рами поддержки мигрантов (ЦПМ).</w:t>
      </w:r>
    </w:p>
    <w:p w:rsidR="00FD7F02" w:rsidRDefault="00FD7F02" w:rsidP="00FD7F02">
      <w:r w:rsidRPr="00FD7F02">
        <w:t xml:space="preserve">Центры </w:t>
      </w:r>
      <w:r w:rsidRPr="00FD7F02">
        <w:rPr>
          <w:lang w:val="en-US"/>
        </w:rPr>
        <w:t>MSC</w:t>
      </w:r>
      <w:r w:rsidRPr="00FD7F02">
        <w:t xml:space="preserve"> созданы на базе 7 существующих НПО-партнеров МОМ, представляющих все провинции Таджикистана. Поддержка предоставляется в виде грантов. </w:t>
      </w:r>
      <w:r>
        <w:t>Определение деревень/поселков для мобилизации.</w:t>
      </w:r>
    </w:p>
    <w:p w:rsidR="00FD7F02" w:rsidRDefault="00FD7F02" w:rsidP="00FD7F02">
      <w:r>
        <w:t xml:space="preserve">В Таджикистане проектные площадки для реализации этого проекта определены в двух областях, которые имеют наибольшее количество экономически активного населения (по сравнению с другими регионами страны) – </w:t>
      </w:r>
      <w:proofErr w:type="spellStart"/>
      <w:r>
        <w:t>Хатлонская</w:t>
      </w:r>
      <w:proofErr w:type="spellEnd"/>
      <w:r>
        <w:t xml:space="preserve"> область (47,1%) и Согдийская область (44,9%). В последнем случае отбор деревень для участия в проекте будет проводиться в тесном сотрудничестве с текущей программой развития сельских районов ПРООН/Министерства иностранных дел США.</w:t>
      </w:r>
    </w:p>
    <w:p w:rsidR="00FD7F02" w:rsidRDefault="00376D60" w:rsidP="00FD7F02">
      <w:r w:rsidRPr="00376D60">
        <w:t>Как только группа сформирована, деревенские аниматоры содействуют процессу создания системы лидерства и управления, разрабатывают кодексы SHG, отражающие правила и процедуры, основанные на правах человека, и налаживают хорошие связи и сотрудни</w:t>
      </w:r>
      <w:r>
        <w:t xml:space="preserve">чество между членами SHG, </w:t>
      </w:r>
      <w:r w:rsidRPr="00376D60">
        <w:t xml:space="preserve">постоянную поддержку для обеспечения сплоченности, солидарности и способности решать проблемы членов группы. </w:t>
      </w:r>
    </w:p>
    <w:p w:rsidR="0001398C" w:rsidRPr="0001398C" w:rsidRDefault="0001398C" w:rsidP="00FD7F02">
      <w:pPr>
        <w:rPr>
          <w:b/>
          <w:lang w:val="en-US"/>
        </w:rPr>
      </w:pPr>
      <w:r w:rsidRPr="0001398C">
        <w:rPr>
          <w:b/>
        </w:rPr>
        <w:t>Кыргызстан</w:t>
      </w:r>
      <w:r w:rsidRPr="0001398C">
        <w:rPr>
          <w:b/>
          <w:lang w:val="en-US"/>
        </w:rPr>
        <w:t xml:space="preserve"> (</w:t>
      </w:r>
      <w:r w:rsidRPr="0001398C">
        <w:rPr>
          <w:b/>
        </w:rPr>
        <w:t>в</w:t>
      </w:r>
      <w:r w:rsidRPr="0001398C">
        <w:rPr>
          <w:b/>
          <w:lang w:val="en-US"/>
        </w:rPr>
        <w:t xml:space="preserve"> </w:t>
      </w:r>
      <w:r w:rsidRPr="0001398C">
        <w:rPr>
          <w:b/>
        </w:rPr>
        <w:t>сокращении</w:t>
      </w:r>
      <w:r w:rsidRPr="0001398C">
        <w:rPr>
          <w:b/>
          <w:lang w:val="en-US"/>
        </w:rPr>
        <w:t>)</w:t>
      </w:r>
    </w:p>
    <w:p w:rsidR="0001398C" w:rsidRPr="0001398C" w:rsidRDefault="0001398C" w:rsidP="0001398C">
      <w:pPr>
        <w:rPr>
          <w:rFonts w:ascii="Arial" w:eastAsia="Times New Roman" w:hAnsi="Arial" w:cs="Arial"/>
          <w:color w:val="343A40"/>
          <w:sz w:val="24"/>
          <w:szCs w:val="24"/>
          <w:lang w:eastAsia="ru-RU"/>
        </w:rPr>
      </w:pPr>
      <w:r w:rsidRPr="0001398C">
        <w:rPr>
          <w:rFonts w:ascii="Arial" w:eastAsia="Times New Roman" w:hAnsi="Arial" w:cs="Arial"/>
          <w:color w:val="343A40"/>
          <w:sz w:val="24"/>
          <w:szCs w:val="24"/>
          <w:lang w:val="en-US" w:eastAsia="ru-RU"/>
        </w:rPr>
        <w:t>CARMP</w:t>
      </w:r>
      <w:r w:rsidRPr="0001398C">
        <w:rPr>
          <w:rFonts w:ascii="Arial" w:eastAsia="Times New Roman" w:hAnsi="Arial" w:cs="Arial"/>
          <w:color w:val="343A40"/>
          <w:sz w:val="24"/>
          <w:szCs w:val="24"/>
          <w:lang w:eastAsia="ru-RU"/>
        </w:rPr>
        <w:t xml:space="preserve"> обучает государственных служащих, непосредственно участвующих в сборе и использовании миграционных данных</w:t>
      </w:r>
    </w:p>
    <w:p w:rsidR="00A63D1D" w:rsidRDefault="0001398C" w:rsidP="003474A1">
      <w:r w:rsidRPr="0001398C">
        <w:t xml:space="preserve">CARMP предоставляет информацию о международных стандартах и практике, а также консультации экспертов по конкретным аспектам </w:t>
      </w:r>
      <w:r w:rsidRPr="0001398C">
        <w:lastRenderedPageBreak/>
        <w:t>управления миграцией для обеспечения принятия обоснованных политических решений.</w:t>
      </w:r>
    </w:p>
    <w:p w:rsidR="0001398C" w:rsidRDefault="008E32C0" w:rsidP="003474A1">
      <w:r w:rsidRPr="008E32C0">
        <w:t>Экспертные группы анализируют наиболее важные аспекты миграционной политики и предлагают поправки к законам и нормативным актам, которые обсуждаются с рядом заинтересованных сторон и впоследствии представляются Правительству Кыргызстана для принятия.</w:t>
      </w:r>
    </w:p>
    <w:p w:rsidR="008E32C0" w:rsidRDefault="008E32C0" w:rsidP="003474A1">
      <w:r w:rsidRPr="008E32C0">
        <w:t xml:space="preserve">После успешного обучения тренеров проводится серия обучающих мероприятий для государственных служащих, принимающих решения; </w:t>
      </w:r>
    </w:p>
    <w:p w:rsidR="00AC6771" w:rsidRDefault="00AC6771" w:rsidP="003474A1">
      <w:r w:rsidRPr="00AC6771">
        <w:t>Центр также поддерживает тесную связь с Центрами по работе с мигрантами за рубежом, центрами диаспоры, расположенными в Казахстане и Российской Федерации, и атташе по трудовым вопросам, защищающими права и интересы трудовых мигрантов на этапе трудоустройства.</w:t>
      </w:r>
    </w:p>
    <w:p w:rsidR="00AC6771" w:rsidRDefault="00AC6771" w:rsidP="003474A1">
      <w:r w:rsidRPr="00AC6771">
        <w:t>CARMP поддерживает разработку информационных материалов о том, как легально трудоустроиться за границей, как защитить права мигрантов, в какие учреждения обращаться в случае нарушения прав, с подробной контактной информацией таких учреждений в Кыргызской Республике и странах назначения.</w:t>
      </w:r>
    </w:p>
    <w:p w:rsidR="00026AA9" w:rsidRDefault="00026AA9" w:rsidP="00026AA9">
      <w:r>
        <w:t>Определение деревень/поселков для мобилизации.</w:t>
      </w:r>
    </w:p>
    <w:p w:rsidR="00026AA9" w:rsidRDefault="00026AA9" w:rsidP="00026AA9">
      <w:r>
        <w:t>В Кыргызстане первоначальное определение мест для мобилизации проводится в 30 деревнях, где, согласно данным ЮНИФЕМ, количество семей трудовых мигрантов приближается к 3600 семьям. Цель состоит в том, чтобы поддержать 1500 семей трудовых мигрантов, но после консультаций с ПРООН и МОМ проект может быть распространен и на другие провинции.</w:t>
      </w:r>
    </w:p>
    <w:p w:rsidR="00B56FC8" w:rsidRPr="00B56FC8" w:rsidRDefault="00B56FC8" w:rsidP="00B56FC8">
      <w:pPr>
        <w:rPr>
          <w:rFonts w:ascii="Arial" w:eastAsia="Times New Roman" w:hAnsi="Arial" w:cs="Arial"/>
          <w:color w:val="343A40"/>
          <w:sz w:val="24"/>
          <w:szCs w:val="24"/>
          <w:lang w:eastAsia="ru-RU"/>
        </w:rPr>
      </w:pPr>
      <w:r w:rsidRPr="00B56FC8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Процесс мобилизации вк</w:t>
      </w:r>
      <w:r>
        <w:rPr>
          <w:rFonts w:ascii="Arial" w:eastAsia="Times New Roman" w:hAnsi="Arial" w:cs="Arial"/>
          <w:color w:val="343A40"/>
          <w:sz w:val="24"/>
          <w:szCs w:val="24"/>
          <w:lang w:eastAsia="ru-RU"/>
        </w:rPr>
        <w:t>лючает в себя несколько этапов:</w:t>
      </w:r>
    </w:p>
    <w:p w:rsidR="00B56FC8" w:rsidRPr="00B56FC8" w:rsidRDefault="00B56FC8" w:rsidP="00B56FC8">
      <w:pPr>
        <w:rPr>
          <w:rFonts w:ascii="Arial" w:eastAsia="Times New Roman" w:hAnsi="Arial" w:cs="Arial"/>
          <w:color w:val="343A40"/>
          <w:sz w:val="24"/>
          <w:szCs w:val="24"/>
          <w:lang w:eastAsia="ru-RU"/>
        </w:rPr>
      </w:pPr>
      <w:r w:rsidRPr="00B56FC8">
        <w:rPr>
          <w:rFonts w:ascii="Arial" w:eastAsia="Times New Roman" w:hAnsi="Arial" w:cs="Arial"/>
          <w:color w:val="343A40"/>
          <w:sz w:val="24"/>
          <w:szCs w:val="24"/>
          <w:lang w:eastAsia="ru-RU"/>
        </w:rPr>
        <w:t xml:space="preserve">серия встреч с семьями трудовых мигрантов, в ходе которых разъясняется цель </w:t>
      </w:r>
      <w:r w:rsidRPr="00B56FC8">
        <w:rPr>
          <w:rFonts w:ascii="Arial" w:eastAsia="Times New Roman" w:hAnsi="Arial" w:cs="Arial"/>
          <w:color w:val="343A40"/>
          <w:sz w:val="24"/>
          <w:szCs w:val="24"/>
          <w:lang w:val="en-US" w:eastAsia="ru-RU"/>
        </w:rPr>
        <w:t>SHG</w:t>
      </w:r>
      <w:r w:rsidRPr="00B56FC8">
        <w:rPr>
          <w:rFonts w:ascii="Arial" w:eastAsia="Times New Roman" w:hAnsi="Arial" w:cs="Arial"/>
          <w:color w:val="343A40"/>
          <w:sz w:val="24"/>
          <w:szCs w:val="24"/>
          <w:lang w:eastAsia="ru-RU"/>
        </w:rPr>
        <w:t xml:space="preserve">, включая возможности, предоставляемые членством в </w:t>
      </w:r>
      <w:r w:rsidRPr="00B56FC8">
        <w:rPr>
          <w:rFonts w:ascii="Arial" w:eastAsia="Times New Roman" w:hAnsi="Arial" w:cs="Arial"/>
          <w:color w:val="343A40"/>
          <w:sz w:val="24"/>
          <w:szCs w:val="24"/>
          <w:lang w:val="en-US" w:eastAsia="ru-RU"/>
        </w:rPr>
        <w:t>SHG</w:t>
      </w:r>
      <w:r w:rsidRPr="00B56FC8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;</w:t>
      </w:r>
    </w:p>
    <w:p w:rsidR="00B56FC8" w:rsidRPr="00B56FC8" w:rsidRDefault="00B56FC8" w:rsidP="00B56FC8">
      <w:pPr>
        <w:rPr>
          <w:rFonts w:ascii="Arial" w:eastAsia="Times New Roman" w:hAnsi="Arial" w:cs="Arial"/>
          <w:color w:val="343A40"/>
          <w:sz w:val="24"/>
          <w:szCs w:val="24"/>
          <w:lang w:eastAsia="ru-RU"/>
        </w:rPr>
      </w:pPr>
      <w:r w:rsidRPr="00B56FC8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применяется принцип самостоятельного отбора членов, т.е. группа должна быть сформирована из членов, которые готовы работать (на основе взаимных интересов</w:t>
      </w:r>
      <w:proofErr w:type="gramStart"/>
      <w:r w:rsidRPr="00B56FC8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).;</w:t>
      </w:r>
      <w:proofErr w:type="gramEnd"/>
    </w:p>
    <w:p w:rsidR="00B56FC8" w:rsidRPr="00B56FC8" w:rsidRDefault="00B56FC8" w:rsidP="00B56FC8">
      <w:pPr>
        <w:rPr>
          <w:rFonts w:ascii="Arial" w:eastAsia="Times New Roman" w:hAnsi="Arial" w:cs="Arial"/>
          <w:color w:val="343A40"/>
          <w:sz w:val="24"/>
          <w:szCs w:val="24"/>
          <w:lang w:eastAsia="ru-RU"/>
        </w:rPr>
      </w:pPr>
      <w:r w:rsidRPr="00B56FC8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содействие процессу формирования группы, избранию руководящего органа группы (лидеров, казначеев и т.д.), установлению правил группы и т.д.; кроме того,</w:t>
      </w:r>
    </w:p>
    <w:p w:rsidR="00B56FC8" w:rsidRDefault="00B56FC8" w:rsidP="00B56FC8">
      <w:pPr>
        <w:rPr>
          <w:rFonts w:ascii="Arial" w:eastAsia="Times New Roman" w:hAnsi="Arial" w:cs="Arial"/>
          <w:color w:val="343A40"/>
          <w:sz w:val="24"/>
          <w:szCs w:val="24"/>
          <w:lang w:eastAsia="ru-RU"/>
        </w:rPr>
      </w:pPr>
      <w:r w:rsidRPr="00B56FC8">
        <w:rPr>
          <w:rFonts w:ascii="Arial" w:eastAsia="Times New Roman" w:hAnsi="Arial" w:cs="Arial"/>
          <w:color w:val="343A40"/>
          <w:sz w:val="24"/>
          <w:szCs w:val="24"/>
          <w:lang w:eastAsia="ru-RU"/>
        </w:rPr>
        <w:t xml:space="preserve">деревенские аниматоры готовят описание домохозяйства каждого члена </w:t>
      </w:r>
      <w:r w:rsidRPr="00B56FC8">
        <w:rPr>
          <w:rFonts w:ascii="Arial" w:eastAsia="Times New Roman" w:hAnsi="Arial" w:cs="Arial"/>
          <w:color w:val="343A40"/>
          <w:sz w:val="24"/>
          <w:szCs w:val="24"/>
          <w:lang w:val="en-US" w:eastAsia="ru-RU"/>
        </w:rPr>
        <w:t>SHG</w:t>
      </w:r>
      <w:r w:rsidRPr="00B56FC8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, которое станет основой для определения уровня жизни семьи в начале проекта.</w:t>
      </w:r>
    </w:p>
    <w:p w:rsidR="00B56FC8" w:rsidRPr="00B56FC8" w:rsidRDefault="00B56FC8" w:rsidP="00B56FC8">
      <w:pPr>
        <w:rPr>
          <w:rFonts w:ascii="Arial" w:eastAsia="Times New Roman" w:hAnsi="Arial" w:cs="Arial"/>
          <w:b/>
          <w:bCs/>
          <w:color w:val="343A40"/>
          <w:sz w:val="24"/>
          <w:szCs w:val="24"/>
          <w:lang w:val="en-US" w:eastAsia="ru-RU"/>
        </w:rPr>
      </w:pPr>
    </w:p>
    <w:p w:rsidR="00B56FC8" w:rsidRPr="00B56FC8" w:rsidRDefault="00B56FC8" w:rsidP="00B56FC8">
      <w:r w:rsidRPr="00B56FC8">
        <w:rPr>
          <w:rFonts w:ascii="Arial" w:eastAsia="Times New Roman" w:hAnsi="Arial" w:cs="Arial"/>
          <w:bCs/>
          <w:color w:val="343A40"/>
          <w:sz w:val="24"/>
          <w:szCs w:val="24"/>
          <w:lang w:eastAsia="ru-RU"/>
        </w:rPr>
        <w:lastRenderedPageBreak/>
        <w:t xml:space="preserve">Как только группа сформирована, деревенские аниматоры содействуют процессу формирования системы лидерства и управления, налаживают хорошие связи и сотрудничество между членами ГПЗ. Чтобы обеспечить позитивную динамику в группе, аниматор проводит обучение для </w:t>
      </w:r>
      <w:r w:rsidRPr="00B56FC8">
        <w:rPr>
          <w:rFonts w:ascii="Arial" w:eastAsia="Times New Roman" w:hAnsi="Arial" w:cs="Arial"/>
          <w:bCs/>
          <w:color w:val="343A40"/>
          <w:sz w:val="24"/>
          <w:szCs w:val="24"/>
          <w:lang w:val="en-US" w:eastAsia="ru-RU"/>
        </w:rPr>
        <w:t>SHGS</w:t>
      </w:r>
      <w:r w:rsidRPr="00B56FC8">
        <w:rPr>
          <w:rFonts w:ascii="Arial" w:eastAsia="Times New Roman" w:hAnsi="Arial" w:cs="Arial"/>
          <w:bCs/>
          <w:color w:val="343A40"/>
          <w:sz w:val="24"/>
          <w:szCs w:val="24"/>
          <w:lang w:eastAsia="ru-RU"/>
        </w:rPr>
        <w:t xml:space="preserve"> (как совместно с другими </w:t>
      </w:r>
      <w:r w:rsidRPr="00B56FC8">
        <w:rPr>
          <w:rFonts w:ascii="Arial" w:eastAsia="Times New Roman" w:hAnsi="Arial" w:cs="Arial"/>
          <w:bCs/>
          <w:color w:val="343A40"/>
          <w:sz w:val="24"/>
          <w:szCs w:val="24"/>
          <w:lang w:val="en-US" w:eastAsia="ru-RU"/>
        </w:rPr>
        <w:t>SHGS</w:t>
      </w:r>
      <w:r w:rsidRPr="00B56FC8">
        <w:rPr>
          <w:rFonts w:ascii="Arial" w:eastAsia="Times New Roman" w:hAnsi="Arial" w:cs="Arial"/>
          <w:bCs/>
          <w:color w:val="343A40"/>
          <w:sz w:val="24"/>
          <w:szCs w:val="24"/>
          <w:lang w:eastAsia="ru-RU"/>
        </w:rPr>
        <w:t xml:space="preserve">, так и индивидуально) и оказывает постоянную поддержку для обеспечения сплоченности, солидарности и способности решать проблемы членов группы. Семьи трудовых мигрантов совместно учатся тому, как начать мелкомасштабную экономическую деятельность; получают доступ и совершенствуют свои знания и навыки в области </w:t>
      </w:r>
      <w:proofErr w:type="gramStart"/>
      <w:r w:rsidRPr="00B56FC8">
        <w:rPr>
          <w:rFonts w:ascii="Arial" w:eastAsia="Times New Roman" w:hAnsi="Arial" w:cs="Arial"/>
          <w:bCs/>
          <w:color w:val="343A40"/>
          <w:sz w:val="24"/>
          <w:szCs w:val="24"/>
          <w:lang w:eastAsia="ru-RU"/>
        </w:rPr>
        <w:t>бизнес-планирования</w:t>
      </w:r>
      <w:proofErr w:type="gramEnd"/>
      <w:r w:rsidRPr="00B56FC8">
        <w:rPr>
          <w:rFonts w:ascii="Arial" w:eastAsia="Times New Roman" w:hAnsi="Arial" w:cs="Arial"/>
          <w:bCs/>
          <w:color w:val="343A40"/>
          <w:sz w:val="24"/>
          <w:szCs w:val="24"/>
          <w:lang w:eastAsia="ru-RU"/>
        </w:rPr>
        <w:t>, бухгалтерского учета, сбережений. Солидарность и взаимное доверие, укрепляющиеся внутри группы, помогают им объединяться.</w:t>
      </w:r>
    </w:p>
    <w:p w:rsidR="00026AA9" w:rsidRPr="00B56FC8" w:rsidRDefault="00026AA9" w:rsidP="00026AA9"/>
    <w:sectPr w:rsidR="00026AA9" w:rsidRPr="00B56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367A"/>
    <w:multiLevelType w:val="multilevel"/>
    <w:tmpl w:val="3152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1683A"/>
    <w:multiLevelType w:val="multilevel"/>
    <w:tmpl w:val="7FF8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44A92"/>
    <w:multiLevelType w:val="multilevel"/>
    <w:tmpl w:val="19F4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047764"/>
    <w:multiLevelType w:val="multilevel"/>
    <w:tmpl w:val="FD78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802E52"/>
    <w:multiLevelType w:val="multilevel"/>
    <w:tmpl w:val="6370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F9"/>
    <w:rsid w:val="0001398C"/>
    <w:rsid w:val="00026AA9"/>
    <w:rsid w:val="0014746E"/>
    <w:rsid w:val="002E5AEC"/>
    <w:rsid w:val="003474A1"/>
    <w:rsid w:val="00376D60"/>
    <w:rsid w:val="00763515"/>
    <w:rsid w:val="008E32C0"/>
    <w:rsid w:val="00A63D1D"/>
    <w:rsid w:val="00AC6771"/>
    <w:rsid w:val="00AD4802"/>
    <w:rsid w:val="00AF0BF9"/>
    <w:rsid w:val="00B56FC8"/>
    <w:rsid w:val="00BB5942"/>
    <w:rsid w:val="00BD7F50"/>
    <w:rsid w:val="00FC6C5A"/>
    <w:rsid w:val="00FD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4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BF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0BF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139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139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4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BF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0BF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139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139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6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0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83695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7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13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3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8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39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2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ia.iom.int/ru/regionalnaya-programma-po-migracii-v-centralnoy-azii-i-rossi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ssia.iom.int/ru/regionalnaya-programma-po-migracii-v-centralnoy-azii-i-rossii" TargetMode="External"/><Relationship Id="rId12" Type="http://schemas.openxmlformats.org/officeDocument/2006/relationships/hyperlink" Target="https://russia.iom.int/ru/regionalnaya-programma-po-migracii-v-centralnoy-azii-i-ros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ssia.iom.int/ru/regionalnaya-programma-po-migracii-v-centralnoy-azii-i-rossi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sia.iom.int/ru/regionalnaya-programma-po-migracii-v-centralnoy-azii-i-ross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sia.iom.int/ru/regionalnaya-programma-po-migracii-v-centralnoy-azii-i-rossi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2</cp:revision>
  <cp:lastPrinted>2024-04-01T11:16:00Z</cp:lastPrinted>
  <dcterms:created xsi:type="dcterms:W3CDTF">2024-07-13T06:40:00Z</dcterms:created>
  <dcterms:modified xsi:type="dcterms:W3CDTF">2024-07-13T06:40:00Z</dcterms:modified>
</cp:coreProperties>
</file>